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64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四川沿江攀宁高速公路有限公司</w:t>
      </w:r>
    </w:p>
    <w:p>
      <w:pPr>
        <w:pStyle w:val="6"/>
        <w:spacing w:before="0" w:after="0" w:line="64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四川攀大高速公路开发有限责任公司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一线运营人员招聘公告</w:t>
      </w:r>
    </w:p>
    <w:p/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为满足公司运营发展需求，攀宁攀大公司现拟面向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生产序列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人员，具体公告如下：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一、公司简介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宁攀大公司是根据蜀道高速集团片区化管理要求，由四川沿江攀宁高速公路有限公司、四川攀大高速公路开发有限责任公司、四川沿江金宁高速公路有限公司、四川会禄高速公路有限公司组成，负责沿江高速金宁段、沿江高速宁攀段、攀大高速、会禄高速的建设及营运管理工作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二、招聘原则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、公开招聘。通过公开招聘的方式，公开、公平、公正，广泛吸纳优秀人才。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（二）考试考察、择优聘用。通过考试与考察相结合，择优选拔优秀人才。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三、招聘范围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面向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社会</w:t>
      </w:r>
      <w:r>
        <w:rPr>
          <w:rFonts w:hint="eastAsia" w:ascii="仿宋_GB2312" w:hAnsi="仿宋" w:eastAsia="仿宋_GB2312" w:cs="仿宋"/>
          <w:sz w:val="32"/>
          <w:szCs w:val="32"/>
        </w:rPr>
        <w:t>公开招聘符合条件的相关人员。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四、招聘岗位及人数  </w:t>
      </w:r>
    </w:p>
    <w:tbl>
      <w:tblPr>
        <w:tblStyle w:val="10"/>
        <w:tblW w:w="5310" w:type="pct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616"/>
        <w:gridCol w:w="1789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445" w:type="pct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988" w:type="pct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1864" w:type="pct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44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清障队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员</w:t>
            </w:r>
          </w:p>
        </w:tc>
        <w:tc>
          <w:tcPr>
            <w:tcW w:w="98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8人</w:t>
            </w:r>
          </w:p>
        </w:tc>
        <w:tc>
          <w:tcPr>
            <w:tcW w:w="1864" w:type="pct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highlight w:val="none"/>
              </w:rPr>
              <w:t>攀大高速、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highlight w:val="none"/>
                <w:lang w:val="en-US" w:eastAsia="zh-CN"/>
              </w:rPr>
              <w:t>沿江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highlight w:val="none"/>
              </w:rPr>
              <w:t>高速沿线，根据工作需要统筹安排。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五、应聘资格条件</w:t>
      </w:r>
    </w:p>
    <w:p>
      <w:pPr>
        <w:spacing w:line="560" w:lineRule="exact"/>
        <w:ind w:firstLine="641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（一）基本条件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拥护中国共产党的领导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，遵纪守法，品行端正；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大专</w:t>
      </w:r>
      <w:r>
        <w:rPr>
          <w:rFonts w:ascii="Times New Roman" w:hAnsi="Times New Roman" w:eastAsia="仿宋_GB2312"/>
          <w:sz w:val="32"/>
          <w:szCs w:val="32"/>
          <w:highlight w:val="none"/>
        </w:rPr>
        <w:t>及以上学历</w:t>
      </w:r>
      <w:bookmarkStart w:id="0" w:name="_Hlk132494467"/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以学信网查询结果为准</w:t>
      </w:r>
      <w:r>
        <w:rPr>
          <w:rFonts w:ascii="Times New Roman" w:hAnsi="Times New Roman" w:eastAsia="仿宋_GB2312"/>
          <w:sz w:val="32"/>
          <w:szCs w:val="32"/>
          <w:highlight w:val="none"/>
        </w:rPr>
        <w:t>；</w:t>
      </w:r>
    </w:p>
    <w:bookmarkEnd w:id="0"/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3.年龄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35</w:t>
      </w:r>
      <w:r>
        <w:rPr>
          <w:rFonts w:ascii="Times New Roman" w:hAnsi="Times New Roman" w:eastAsia="仿宋_GB2312"/>
          <w:sz w:val="32"/>
          <w:szCs w:val="32"/>
          <w:highlight w:val="none"/>
        </w:rPr>
        <w:t>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以下</w:t>
      </w: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198</w:t>
      </w:r>
      <w:r>
        <w:rPr>
          <w:rFonts w:hint="default" w:ascii="Times New Roman" w:hAnsi="Times New Roman" w:eastAsia="仿宋_GB2312"/>
          <w:sz w:val="32"/>
          <w:szCs w:val="32"/>
          <w:highlight w:val="none"/>
          <w:woUserID w:val="1"/>
        </w:rPr>
        <w:t>8</w:t>
      </w:r>
      <w:bookmarkStart w:id="2" w:name="_GoBack"/>
      <w:bookmarkEnd w:id="2"/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后出生）；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4.</w:t>
      </w:r>
      <w:r>
        <w:rPr>
          <w:rFonts w:ascii="Times New Roman" w:hAnsi="Times New Roman" w:eastAsia="仿宋_GB2312"/>
          <w:sz w:val="32"/>
          <w:szCs w:val="32"/>
          <w:highlight w:val="none"/>
        </w:rPr>
        <w:t>身体健康，具有正常履行岗位职责的身体条件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1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（二）其他应聘资格条件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须持有机动车准驾车型B照2年以上且驾驶技术熟练；有A1、A2驾照或吊车、拖车特种设备操作证的，学历可放宽至高中，年龄可放宽年龄至40岁以下（1984年7年月31日以后出生）。</w:t>
      </w:r>
    </w:p>
    <w:p>
      <w:pPr>
        <w:spacing w:line="560" w:lineRule="exact"/>
        <w:ind w:firstLine="641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六、招聘流程</w:t>
      </w:r>
    </w:p>
    <w:p>
      <w:pPr>
        <w:spacing w:line="560" w:lineRule="exact"/>
        <w:ind w:firstLine="641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（一）信息发布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通过蜀道集团招聘系统、蜀道高速集团微信公众号、蜀道高速集团官网和攀宁攀大公司官网及微信公众号等形式面向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公开发布招聘信息。</w:t>
      </w:r>
    </w:p>
    <w:p>
      <w:pPr>
        <w:spacing w:line="560" w:lineRule="exact"/>
        <w:ind w:firstLine="641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（二）报名时间及方式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1.报名时间：自公告发布之日起—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日23:59。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 w:eastAsiaTheme="minorEastAsia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1229360</wp:posOffset>
            </wp:positionV>
            <wp:extent cx="1905635" cy="1967230"/>
            <wp:effectExtent l="0" t="0" r="18415" b="13970"/>
            <wp:wrapNone/>
            <wp:docPr id="1" name="图片 1" descr="清障队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清障队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2.报名方式：使用蜀道集团招聘系统线上报名，应聘者登录蜀道集团招聘平台：（</w:t>
      </w:r>
      <w:r>
        <w:rPr>
          <w:rFonts w:ascii="仿宋_GB2312" w:hAnsi="仿宋_GB2312" w:eastAsia="仿宋_GB2312" w:cs="仿宋_GB2312"/>
          <w:sz w:val="32"/>
          <w:szCs w:val="32"/>
        </w:rPr>
        <w:t>https://hr.shudaojt.com/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招聘板块，选择“蜀道高速集团-攀宁攀大公司”对应报名岗位，也可扫描下方对应岗位二维码进行报名。</w:t>
      </w:r>
    </w:p>
    <w:p>
      <w:pPr>
        <w:tabs>
          <w:tab w:val="left" w:pos="7428"/>
        </w:tabs>
        <w:ind w:firstLine="2560" w:firstLineChars="800"/>
        <w:rPr>
          <w:rFonts w:hint="eastAsia" w:ascii="仿宋_GB2312" w:hAnsi="仿宋_GB2312" w:cs="仿宋_GB2312" w:eastAsiaTheme="minorEastAsia"/>
          <w:sz w:val="32"/>
          <w:szCs w:val="32"/>
          <w:lang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 xml:space="preserve"> </w:t>
      </w:r>
      <w:r>
        <w:rPr>
          <w:rFonts w:ascii="黑体" w:hAnsi="黑体" w:eastAsia="黑体" w:cs="仿宋_GB2312"/>
          <w:sz w:val="24"/>
        </w:rPr>
        <w:t xml:space="preserve">  </w:t>
      </w:r>
      <w:r>
        <w:rPr>
          <w:rFonts w:hint="eastAsia" w:ascii="黑体" w:hAnsi="黑体" w:eastAsia="黑体" w:cs="仿宋_GB2312"/>
          <w:sz w:val="24"/>
        </w:rPr>
        <w:t xml:space="preserve">                    </w:t>
      </w:r>
    </w:p>
    <w:p>
      <w:pPr>
        <w:spacing w:line="560" w:lineRule="exact"/>
        <w:ind w:firstLine="3360" w:firstLineChars="1400"/>
        <w:rPr>
          <w:rFonts w:hint="eastAsia"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  <w:lang w:val="en-US" w:eastAsia="zh-CN"/>
        </w:rPr>
        <w:t>清障队</w:t>
      </w:r>
      <w:r>
        <w:rPr>
          <w:rFonts w:hint="eastAsia" w:ascii="黑体" w:hAnsi="黑体" w:eastAsia="黑体" w:cs="仿宋_GB2312"/>
          <w:sz w:val="24"/>
        </w:rPr>
        <w:t>员岗位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报名时，请注意选择的报名单位、岗位等信息是否正确，完善本人简历信息，扫描上传本人身份证复印件、学历学位证书及相关证明（有效期内学信网在线验证报告）、职业资格证书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最近一份工作解除劳动关系的证明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等材料。并将其他符合招聘岗位资格条件的相关证明材料一并打包上传至“其他附件”。未按上述渠道或相关要求投递报名资料的，均视为无效报名。</w:t>
      </w:r>
    </w:p>
    <w:p>
      <w:pPr>
        <w:spacing w:line="560" w:lineRule="exact"/>
        <w:ind w:firstLine="641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（三）资格审查及简历筛选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按照岗位报名资格条件对报名人员进行资格审查及简历筛选。</w:t>
      </w:r>
    </w:p>
    <w:p>
      <w:pPr>
        <w:spacing w:line="560" w:lineRule="exact"/>
        <w:ind w:firstLine="641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（四）综合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测评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综合测评分为职业测评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实操</w:t>
      </w:r>
      <w:r>
        <w:rPr>
          <w:rFonts w:hint="eastAsia" w:ascii="仿宋_GB2312" w:hAnsi="仿宋_GB2312" w:eastAsia="仿宋_GB2312" w:cs="仿宋_GB2312"/>
          <w:sz w:val="32"/>
          <w:szCs w:val="32"/>
        </w:rPr>
        <w:t>和面试。职业测评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实操和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具体时间、地点另行通知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1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研究决定</w:t>
      </w:r>
    </w:p>
    <w:p>
      <w:pPr>
        <w:spacing w:line="560" w:lineRule="exact"/>
        <w:ind w:firstLine="641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六</w:t>
      </w:r>
      <w:r>
        <w:rPr>
          <w:rFonts w:ascii="Times New Roman" w:hAnsi="Times New Roman" w:eastAsia="楷体_GB2312"/>
          <w:b/>
          <w:bCs/>
          <w:sz w:val="32"/>
          <w:szCs w:val="32"/>
        </w:rPr>
        <w:t>）背景调查</w:t>
      </w:r>
    </w:p>
    <w:p>
      <w:pPr>
        <w:spacing w:line="560" w:lineRule="exact"/>
        <w:ind w:firstLine="641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七</w:t>
      </w:r>
      <w:r>
        <w:rPr>
          <w:rFonts w:ascii="Times New Roman" w:hAnsi="Times New Roman" w:eastAsia="楷体_GB2312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结果公示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132494717"/>
      <w:r>
        <w:rPr>
          <w:rFonts w:hint="eastAsia" w:ascii="Times New Roman" w:hAnsi="Times New Roman" w:eastAsia="仿宋_GB2312"/>
          <w:sz w:val="32"/>
          <w:szCs w:val="32"/>
        </w:rPr>
        <w:t>通过攀宁攀大公司官网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或微信公众号</w:t>
      </w:r>
      <w:r>
        <w:rPr>
          <w:rFonts w:ascii="Times New Roman" w:hAnsi="Times New Roman" w:eastAsia="仿宋_GB2312"/>
          <w:sz w:val="32"/>
          <w:szCs w:val="32"/>
        </w:rPr>
        <w:t>进行公示，公示期为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个工作日。</w:t>
      </w:r>
    </w:p>
    <w:p>
      <w:pPr>
        <w:spacing w:line="560" w:lineRule="exact"/>
        <w:ind w:firstLine="641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八</w:t>
      </w:r>
      <w:r>
        <w:rPr>
          <w:rFonts w:ascii="Times New Roman" w:hAnsi="Times New Roman" w:eastAsia="楷体_GB2312"/>
          <w:b/>
          <w:bCs/>
          <w:sz w:val="32"/>
          <w:szCs w:val="32"/>
        </w:rPr>
        <w:t>）健康体检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拟录用人员在三甲公立医院按要求进行体检（体检报告3个月内有效）。</w:t>
      </w:r>
    </w:p>
    <w:p>
      <w:pPr>
        <w:spacing w:line="560" w:lineRule="exact"/>
        <w:ind w:firstLine="641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九</w:t>
      </w:r>
      <w:r>
        <w:rPr>
          <w:rFonts w:ascii="Times New Roman" w:hAnsi="Times New Roman" w:eastAsia="楷体_GB2312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办理录用手续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通过背景调查、公示无异议及体检合格人员按程序办理</w:t>
      </w:r>
      <w:r>
        <w:rPr>
          <w:rFonts w:hint="eastAsia" w:ascii="Times New Roman" w:hAnsi="Times New Roman" w:eastAsia="仿宋_GB2312"/>
          <w:sz w:val="32"/>
          <w:szCs w:val="32"/>
        </w:rPr>
        <w:t>录用</w:t>
      </w:r>
      <w:r>
        <w:rPr>
          <w:rFonts w:ascii="Times New Roman" w:hAnsi="Times New Roman" w:eastAsia="仿宋_GB2312"/>
          <w:sz w:val="32"/>
          <w:szCs w:val="32"/>
        </w:rPr>
        <w:t>手续。</w:t>
      </w:r>
    </w:p>
    <w:p>
      <w:pPr>
        <w:pStyle w:val="2"/>
        <w:spacing w:after="0" w:line="560" w:lineRule="exact"/>
        <w:ind w:left="0" w:leftChars="0"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七、其他事项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（一）本次招聘不接受纸质简历和电子邮箱报名。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（二）招聘工作严格按招聘方案规定执行，严肃工作纪律，严格执行回避制度。若面试评委、工作人员和报名人员存在公司《招聘管理办法（试行）》规定的回避关系，评委及工作人员应主动申请回避。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资格审查贯穿招聘工作过程始终，应聘者应对提交材料的真实性负责。如发现应聘人员因提供资料失实失真、存在不符合岗位资格条件或弄虚作假的，一经查实，取消应聘资格，已录用的按程序予以解聘，应聘人员个人资料仅用于此次公开招聘，不公开、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）原则上在蜀道集团系统内部解除劳动关系不满3年的，不予招录。有违法记录或因违纪、违规被解除劳动合同的人员，原则上不予招录。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Cs w:val="32"/>
        </w:rPr>
        <w:t>）本次招聘不收取任何费用、不授权任何机构开展培训，请应聘人员提高警惕，谨防上当受骗。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Cs w:val="32"/>
        </w:rPr>
        <w:t>）招聘各环节中，将通过短信、电话及电子邮件等方式通知，应聘者需在招聘期间保持本人通讯畅通，因应聘者通讯不畅造成的后果，我公司不承担任何责任。招聘过程中，凡未进入下一环节者，不再另行通知。</w:t>
      </w:r>
    </w:p>
    <w:p>
      <w:pPr>
        <w:pStyle w:val="2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Cs w:val="32"/>
        </w:rPr>
        <w:t>）招聘信息仅通过蜀道集团招聘平台、蜀道高速集团微信公众号、蜀道高速集团官网和攀宁攀大公司官网及公众号官方渠道发布，谢绝其他一切形式的转载。</w:t>
      </w:r>
    </w:p>
    <w:p>
      <w:pPr>
        <w:pStyle w:val="2"/>
        <w:spacing w:line="560" w:lineRule="exact"/>
        <w:ind w:left="0" w:leftChars="0"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Cs w:val="32"/>
        </w:rPr>
        <w:t>）攀宁攀大公司在法律允许范围内对本次招聘享有最终解释权。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</w:t>
      </w:r>
    </w:p>
    <w:p>
      <w:pPr>
        <w:widowControl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公司地址：四川省攀枝花市仁和区中坝乡攀宁攀大公司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联系部门：攀宁攀大公司党务工作部（人力资源部）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联系人：李老师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咨询电话：0812-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3366582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咨询时间：工作日9:00-12:00；14:00-17:00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</w:t>
      </w:r>
    </w:p>
    <w:p>
      <w:pPr>
        <w:ind w:firstLine="60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/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9B2A6"/>
    <w:multiLevelType w:val="singleLevel"/>
    <w:tmpl w:val="4BA9B2A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GM3YTI2Y2Y2ZjQyMGFiZDgxNGViYjYxNTdjNmMifQ=="/>
  </w:docVars>
  <w:rsids>
    <w:rsidRoot w:val="001D6B9E"/>
    <w:rsid w:val="00056E23"/>
    <w:rsid w:val="00081B29"/>
    <w:rsid w:val="00104B2A"/>
    <w:rsid w:val="0011568A"/>
    <w:rsid w:val="00163F70"/>
    <w:rsid w:val="00171E4C"/>
    <w:rsid w:val="001D3A61"/>
    <w:rsid w:val="001D6B9E"/>
    <w:rsid w:val="001E2398"/>
    <w:rsid w:val="001E5592"/>
    <w:rsid w:val="002E5DB4"/>
    <w:rsid w:val="002F09BD"/>
    <w:rsid w:val="00311992"/>
    <w:rsid w:val="0031668D"/>
    <w:rsid w:val="00370B9C"/>
    <w:rsid w:val="0037289B"/>
    <w:rsid w:val="003D52D8"/>
    <w:rsid w:val="003F19C5"/>
    <w:rsid w:val="00422CDD"/>
    <w:rsid w:val="00527106"/>
    <w:rsid w:val="00527B57"/>
    <w:rsid w:val="005317AD"/>
    <w:rsid w:val="005D58DA"/>
    <w:rsid w:val="006018BC"/>
    <w:rsid w:val="00844FD9"/>
    <w:rsid w:val="008772A9"/>
    <w:rsid w:val="008A259B"/>
    <w:rsid w:val="008D3CCE"/>
    <w:rsid w:val="008D63B9"/>
    <w:rsid w:val="0098593D"/>
    <w:rsid w:val="009A323B"/>
    <w:rsid w:val="009D5927"/>
    <w:rsid w:val="00A04A7C"/>
    <w:rsid w:val="00A324D4"/>
    <w:rsid w:val="00A65471"/>
    <w:rsid w:val="00A953A6"/>
    <w:rsid w:val="00AB315B"/>
    <w:rsid w:val="00B35B9A"/>
    <w:rsid w:val="00BA6071"/>
    <w:rsid w:val="00BB13E0"/>
    <w:rsid w:val="00BE5A7F"/>
    <w:rsid w:val="00CF4EC4"/>
    <w:rsid w:val="00DE59F5"/>
    <w:rsid w:val="00E10C01"/>
    <w:rsid w:val="00E732E7"/>
    <w:rsid w:val="00E92E62"/>
    <w:rsid w:val="00F151FF"/>
    <w:rsid w:val="00F20BCC"/>
    <w:rsid w:val="01104FC3"/>
    <w:rsid w:val="01EC0334"/>
    <w:rsid w:val="02893D23"/>
    <w:rsid w:val="02B303C2"/>
    <w:rsid w:val="03A63849"/>
    <w:rsid w:val="04860E82"/>
    <w:rsid w:val="06854402"/>
    <w:rsid w:val="06A57AF0"/>
    <w:rsid w:val="06AC0D8D"/>
    <w:rsid w:val="076A613E"/>
    <w:rsid w:val="086E1AA3"/>
    <w:rsid w:val="088A3E1E"/>
    <w:rsid w:val="098B1221"/>
    <w:rsid w:val="099F70C2"/>
    <w:rsid w:val="09E95BCC"/>
    <w:rsid w:val="09ED0EE7"/>
    <w:rsid w:val="0A677D86"/>
    <w:rsid w:val="0AD04963"/>
    <w:rsid w:val="0BE61950"/>
    <w:rsid w:val="0CA710DF"/>
    <w:rsid w:val="0CCA1F2F"/>
    <w:rsid w:val="0CE8621E"/>
    <w:rsid w:val="0D1D73CE"/>
    <w:rsid w:val="0D9F44AC"/>
    <w:rsid w:val="0E9A11D8"/>
    <w:rsid w:val="0FCF28E7"/>
    <w:rsid w:val="10D26F87"/>
    <w:rsid w:val="12103323"/>
    <w:rsid w:val="12CB68BB"/>
    <w:rsid w:val="13010A84"/>
    <w:rsid w:val="137619E6"/>
    <w:rsid w:val="150A2B53"/>
    <w:rsid w:val="152E15BC"/>
    <w:rsid w:val="15A13F28"/>
    <w:rsid w:val="16A7519A"/>
    <w:rsid w:val="16D57E38"/>
    <w:rsid w:val="170065BB"/>
    <w:rsid w:val="17DE7CB8"/>
    <w:rsid w:val="17EA0303"/>
    <w:rsid w:val="17F67EE0"/>
    <w:rsid w:val="183E3619"/>
    <w:rsid w:val="195F72F4"/>
    <w:rsid w:val="1A576AA1"/>
    <w:rsid w:val="1ADA04C4"/>
    <w:rsid w:val="1BDA3F9C"/>
    <w:rsid w:val="1C72666A"/>
    <w:rsid w:val="1FA15E62"/>
    <w:rsid w:val="20870BE2"/>
    <w:rsid w:val="21A622A6"/>
    <w:rsid w:val="22180A90"/>
    <w:rsid w:val="221E20DC"/>
    <w:rsid w:val="224D07C7"/>
    <w:rsid w:val="22C340CB"/>
    <w:rsid w:val="22E4207C"/>
    <w:rsid w:val="238A5A4C"/>
    <w:rsid w:val="24A74F40"/>
    <w:rsid w:val="26CD3705"/>
    <w:rsid w:val="271E33C1"/>
    <w:rsid w:val="29D86446"/>
    <w:rsid w:val="2A24600D"/>
    <w:rsid w:val="2A554419"/>
    <w:rsid w:val="2AFC6CEC"/>
    <w:rsid w:val="2BF83924"/>
    <w:rsid w:val="2CDD70AB"/>
    <w:rsid w:val="2D4131B5"/>
    <w:rsid w:val="2DD11DDA"/>
    <w:rsid w:val="2F2F3327"/>
    <w:rsid w:val="2FAE6212"/>
    <w:rsid w:val="2FE75C0E"/>
    <w:rsid w:val="305D2BBC"/>
    <w:rsid w:val="306F4E2B"/>
    <w:rsid w:val="32017F81"/>
    <w:rsid w:val="32454128"/>
    <w:rsid w:val="325259B3"/>
    <w:rsid w:val="330A432E"/>
    <w:rsid w:val="344E43B3"/>
    <w:rsid w:val="36195F70"/>
    <w:rsid w:val="362058DB"/>
    <w:rsid w:val="3621400F"/>
    <w:rsid w:val="3673688E"/>
    <w:rsid w:val="36985DB9"/>
    <w:rsid w:val="36AE56EC"/>
    <w:rsid w:val="37DD15AA"/>
    <w:rsid w:val="38332F13"/>
    <w:rsid w:val="384452A9"/>
    <w:rsid w:val="38741F0E"/>
    <w:rsid w:val="38764577"/>
    <w:rsid w:val="399724E2"/>
    <w:rsid w:val="3ABD5E67"/>
    <w:rsid w:val="3BD86AFA"/>
    <w:rsid w:val="3BE90EFF"/>
    <w:rsid w:val="3C793171"/>
    <w:rsid w:val="3D7918A1"/>
    <w:rsid w:val="3F82170E"/>
    <w:rsid w:val="3FA058C5"/>
    <w:rsid w:val="3FB6105E"/>
    <w:rsid w:val="403F0825"/>
    <w:rsid w:val="421E402E"/>
    <w:rsid w:val="42AC2CA8"/>
    <w:rsid w:val="43446FA3"/>
    <w:rsid w:val="43467BC7"/>
    <w:rsid w:val="439C59A8"/>
    <w:rsid w:val="43CC2BFE"/>
    <w:rsid w:val="44D17347"/>
    <w:rsid w:val="451A3B81"/>
    <w:rsid w:val="46174C2A"/>
    <w:rsid w:val="48AA1D52"/>
    <w:rsid w:val="499A61E9"/>
    <w:rsid w:val="49E50526"/>
    <w:rsid w:val="4A590988"/>
    <w:rsid w:val="4CBC1B45"/>
    <w:rsid w:val="4D0A25BD"/>
    <w:rsid w:val="4D2E2B7B"/>
    <w:rsid w:val="4DE905D1"/>
    <w:rsid w:val="4E26570B"/>
    <w:rsid w:val="4E49336E"/>
    <w:rsid w:val="4E7358FE"/>
    <w:rsid w:val="4F075432"/>
    <w:rsid w:val="4F1E452A"/>
    <w:rsid w:val="510936E3"/>
    <w:rsid w:val="51122F77"/>
    <w:rsid w:val="51D01F2B"/>
    <w:rsid w:val="51DD120E"/>
    <w:rsid w:val="5234188F"/>
    <w:rsid w:val="5366582C"/>
    <w:rsid w:val="53B669D9"/>
    <w:rsid w:val="540231A0"/>
    <w:rsid w:val="54DD2DBF"/>
    <w:rsid w:val="55E4096D"/>
    <w:rsid w:val="575651A9"/>
    <w:rsid w:val="5782246F"/>
    <w:rsid w:val="578871A4"/>
    <w:rsid w:val="58627AA0"/>
    <w:rsid w:val="58F542CB"/>
    <w:rsid w:val="59B461B6"/>
    <w:rsid w:val="5A80270A"/>
    <w:rsid w:val="5B1E2954"/>
    <w:rsid w:val="5BBB6581"/>
    <w:rsid w:val="5CBC43AD"/>
    <w:rsid w:val="5CC15BA8"/>
    <w:rsid w:val="5D1E58BA"/>
    <w:rsid w:val="5DD4087B"/>
    <w:rsid w:val="5EF86B45"/>
    <w:rsid w:val="5F2B6783"/>
    <w:rsid w:val="5F51299F"/>
    <w:rsid w:val="5F59255B"/>
    <w:rsid w:val="61C93663"/>
    <w:rsid w:val="61F07BA6"/>
    <w:rsid w:val="624561AE"/>
    <w:rsid w:val="636C365E"/>
    <w:rsid w:val="64BE2BC5"/>
    <w:rsid w:val="669C5CAF"/>
    <w:rsid w:val="67C72A23"/>
    <w:rsid w:val="685C243C"/>
    <w:rsid w:val="68E11BF6"/>
    <w:rsid w:val="6B16415B"/>
    <w:rsid w:val="6BA84C41"/>
    <w:rsid w:val="6C4323B1"/>
    <w:rsid w:val="6C445178"/>
    <w:rsid w:val="6CBD40A2"/>
    <w:rsid w:val="6D5835D1"/>
    <w:rsid w:val="6D712C8A"/>
    <w:rsid w:val="6D8A46B2"/>
    <w:rsid w:val="6E447767"/>
    <w:rsid w:val="6E9A1B13"/>
    <w:rsid w:val="6ECD3B4B"/>
    <w:rsid w:val="6EFD1F8C"/>
    <w:rsid w:val="6F0357BE"/>
    <w:rsid w:val="6F343BCA"/>
    <w:rsid w:val="6F3658B8"/>
    <w:rsid w:val="6F5A7620"/>
    <w:rsid w:val="6F5C6C7D"/>
    <w:rsid w:val="70DD4675"/>
    <w:rsid w:val="71EF1D2F"/>
    <w:rsid w:val="72647889"/>
    <w:rsid w:val="72A45A6D"/>
    <w:rsid w:val="73487A08"/>
    <w:rsid w:val="740D4DB6"/>
    <w:rsid w:val="74B71FCC"/>
    <w:rsid w:val="750A0E66"/>
    <w:rsid w:val="75961FF1"/>
    <w:rsid w:val="77BD2DD9"/>
    <w:rsid w:val="77ED313B"/>
    <w:rsid w:val="78334BF8"/>
    <w:rsid w:val="788B62DC"/>
    <w:rsid w:val="78981683"/>
    <w:rsid w:val="79132522"/>
    <w:rsid w:val="798B6ADC"/>
    <w:rsid w:val="79F857F4"/>
    <w:rsid w:val="7A523156"/>
    <w:rsid w:val="7BC1061C"/>
    <w:rsid w:val="7BC710D2"/>
    <w:rsid w:val="7CF91FAF"/>
    <w:rsid w:val="7D7610C2"/>
    <w:rsid w:val="7D86311A"/>
    <w:rsid w:val="7DAA47D1"/>
    <w:rsid w:val="7E6D3FB0"/>
    <w:rsid w:val="7E723DC7"/>
    <w:rsid w:val="7E734AC4"/>
    <w:rsid w:val="7EF944E8"/>
    <w:rsid w:val="7F9D42A1"/>
    <w:rsid w:val="7FC42296"/>
    <w:rsid w:val="DF7F25A6"/>
    <w:rsid w:val="DFF75B4D"/>
    <w:rsid w:val="E75D9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ascii="Calibri" w:hAnsi="Calibri" w:eastAsia="仿宋"/>
      <w:sz w:val="32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2"/>
    <w:basedOn w:val="1"/>
    <w:next w:val="1"/>
    <w:qFormat/>
    <w:uiPriority w:val="99"/>
  </w:style>
  <w:style w:type="character" w:customStyle="1" w:styleId="13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5</Pages>
  <Words>301</Words>
  <Characters>1720</Characters>
  <Lines>14</Lines>
  <Paragraphs>4</Paragraphs>
  <TotalTime>2</TotalTime>
  <ScaleCrop>false</ScaleCrop>
  <LinksUpToDate>false</LinksUpToDate>
  <CharactersWithSpaces>2017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xb21cn</dc:creator>
  <cp:lastModifiedBy>黄芯煜</cp:lastModifiedBy>
  <cp:lastPrinted>2023-11-16T01:07:00Z</cp:lastPrinted>
  <dcterms:modified xsi:type="dcterms:W3CDTF">2024-07-31T17:33:36Z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CC1E0A44E1204791A0902E2EE733B7E2_12</vt:lpwstr>
  </property>
</Properties>
</file>